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附件3</w:t>
      </w:r>
    </w:p>
    <w:p>
      <w:pPr>
        <w:widowControl/>
        <w:spacing w:before="284" w:afterAutospacing="1"/>
        <w:ind w:firstLine="836"/>
        <w:jc w:val="left"/>
        <w:rPr>
          <w:rFonts w:ascii="宋体" w:hAnsi="宋体" w:cs="宋体"/>
          <w:b/>
          <w:bCs/>
          <w:color w:val="000000"/>
          <w:kern w:val="0"/>
          <w:sz w:val="52"/>
          <w:szCs w:val="52"/>
        </w:rPr>
      </w:pPr>
      <w:r>
        <w:rPr>
          <w:rFonts w:hint="eastAsia" w:ascii="宋体" w:hAnsi="宋体" w:cs="宋体"/>
          <w:b/>
          <w:bCs/>
          <w:color w:val="000000"/>
          <w:kern w:val="0"/>
          <w:sz w:val="52"/>
          <w:szCs w:val="52"/>
          <w:lang w:bidi="ar"/>
        </w:rPr>
        <w:t>学位授权点自我评估总结报告</w:t>
      </w:r>
    </w:p>
    <w:p>
      <w:pPr>
        <w:widowControl/>
        <w:spacing w:before="243" w:afterAutospacing="1"/>
        <w:ind w:firstLine="3221"/>
        <w:jc w:val="center"/>
        <w:rPr>
          <w:rFonts w:ascii="楷体" w:hAnsi="楷体" w:eastAsia="楷体" w:cs="楷体"/>
          <w:color w:val="000000"/>
          <w:spacing w:val="-18"/>
          <w:kern w:val="0"/>
          <w:sz w:val="38"/>
          <w:szCs w:val="38"/>
          <w:lang w:bidi="ar"/>
        </w:rPr>
      </w:pPr>
      <w:r>
        <w:rPr>
          <w:rFonts w:hint="eastAsia" w:ascii="楷体" w:hAnsi="楷体" w:eastAsia="楷体" w:cs="楷体"/>
          <w:color w:val="000000"/>
          <w:spacing w:val="-18"/>
          <w:kern w:val="0"/>
          <w:sz w:val="38"/>
          <w:szCs w:val="38"/>
          <w:lang w:bidi="ar"/>
        </w:rPr>
        <w:t>（式样及要求）</w:t>
      </w:r>
    </w:p>
    <w:p>
      <w:pPr>
        <w:widowControl/>
        <w:spacing w:beforeAutospacing="1" w:afterAutospacing="1"/>
        <w:jc w:val="left"/>
        <w:rPr>
          <w:rFonts w:ascii="Arial" w:hAnsi="Arial" w:cs="Arial"/>
          <w:color w:val="000000"/>
          <w:kern w:val="0"/>
          <w:szCs w:val="21"/>
        </w:rPr>
      </w:pPr>
      <w:bookmarkStart w:id="0" w:name="_GoBack"/>
      <w:bookmarkEnd w:id="0"/>
    </w:p>
    <w:tbl>
      <w:tblPr>
        <w:tblStyle w:val="3"/>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pPr>
              <w:spacing w:line="360" w:lineRule="auto"/>
              <w:ind w:left="0" w:leftChars="0" w:firstLine="0" w:firstLineChars="0"/>
              <w:jc w:val="both"/>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noWrap w:val="0"/>
            <w:vAlign w:val="center"/>
          </w:tcPr>
          <w:p>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pPr>
              <w:spacing w:line="360" w:lineRule="auto"/>
              <w:jc w:val="center"/>
              <w:rPr>
                <w:rFonts w:ascii="仿宋" w:hAnsi="仿宋" w:eastAsia="仿宋" w:cs="仿宋"/>
                <w:sz w:val="32"/>
                <w:szCs w:val="32"/>
              </w:rPr>
            </w:pPr>
          </w:p>
        </w:tc>
        <w:tc>
          <w:tcPr>
            <w:tcW w:w="2880" w:type="dxa"/>
            <w:tcBorders>
              <w:top w:val="single" w:color="auto" w:sz="4" w:space="0"/>
            </w:tcBorders>
            <w:noWrap w:val="0"/>
            <w:vAlign w:val="center"/>
          </w:tcPr>
          <w:p>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pPr>
        <w:widowControl/>
        <w:spacing w:before="468" w:beforeLines="150" w:afterAutospacing="1"/>
        <w:ind w:firstLine="1374" w:firstLineChars="300"/>
        <w:rPr>
          <w:rFonts w:ascii="仿宋" w:hAnsi="仿宋" w:eastAsia="仿宋" w:cs="仿宋"/>
          <w:color w:val="000000"/>
          <w:spacing w:val="69"/>
          <w:kern w:val="0"/>
          <w:position w:val="-15"/>
          <w:sz w:val="32"/>
          <w:szCs w:val="32"/>
          <w:lang w:bidi="ar"/>
        </w:rPr>
      </w:pPr>
    </w:p>
    <w:p>
      <w:pPr>
        <w:widowControl/>
        <w:spacing w:before="468" w:beforeLines="150" w:afterAutospacing="1"/>
        <w:ind w:firstLine="1374" w:firstLineChars="300"/>
        <w:rPr>
          <w:rFonts w:ascii="仿宋" w:hAnsi="仿宋" w:eastAsia="仿宋" w:cs="仿宋"/>
          <w:color w:val="000000"/>
          <w:spacing w:val="69"/>
          <w:kern w:val="0"/>
          <w:position w:val="-15"/>
          <w:sz w:val="32"/>
          <w:szCs w:val="32"/>
          <w:lang w:bidi="ar"/>
        </w:rPr>
      </w:pPr>
    </w:p>
    <w:tbl>
      <w:tblPr>
        <w:tblStyle w:val="3"/>
        <w:tblpPr w:leftFromText="180" w:rightFromText="180" w:vertAnchor="text" w:horzAnchor="page" w:tblpX="3673" w:tblpY="615"/>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pPr>
              <w:spacing w:line="360" w:lineRule="auto"/>
              <w:ind w:left="0" w:leftChars="0" w:firstLine="0" w:firstLineChars="0"/>
              <w:jc w:val="center"/>
              <w:rPr>
                <w:rFonts w:ascii="仿宋" w:hAnsi="仿宋" w:eastAsia="仿宋" w:cs="仿宋"/>
                <w:sz w:val="32"/>
                <w:szCs w:val="32"/>
              </w:rPr>
            </w:pPr>
            <w:r>
              <w:rPr>
                <w:rFonts w:hint="eastAsia" w:ascii="仿宋" w:hAnsi="仿宋" w:eastAsia="仿宋" w:cs="仿宋"/>
                <w:sz w:val="32"/>
                <w:szCs w:val="32"/>
              </w:rPr>
              <w:t>授 权 学 科（类  别）</w:t>
            </w:r>
          </w:p>
        </w:tc>
        <w:tc>
          <w:tcPr>
            <w:tcW w:w="2880" w:type="dxa"/>
            <w:tcBorders>
              <w:bottom w:val="single" w:color="auto" w:sz="4" w:space="0"/>
            </w:tcBorders>
            <w:noWrap w:val="0"/>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名称：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pPr>
              <w:spacing w:line="360" w:lineRule="auto"/>
              <w:jc w:val="center"/>
              <w:rPr>
                <w:rFonts w:ascii="仿宋" w:hAnsi="仿宋" w:eastAsia="仿宋" w:cs="仿宋"/>
                <w:sz w:val="32"/>
                <w:szCs w:val="32"/>
              </w:rPr>
            </w:pPr>
          </w:p>
        </w:tc>
        <w:tc>
          <w:tcPr>
            <w:tcW w:w="2880" w:type="dxa"/>
            <w:tcBorders>
              <w:top w:val="single" w:color="auto" w:sz="4" w:space="0"/>
            </w:tcBorders>
            <w:noWrap w:val="0"/>
            <w:vAlign w:val="center"/>
          </w:tcPr>
          <w:p>
            <w:pPr>
              <w:spacing w:line="360" w:lineRule="auto"/>
              <w:rPr>
                <w:rFonts w:ascii="仿宋" w:hAnsi="仿宋" w:eastAsia="仿宋" w:cs="仿宋"/>
                <w:sz w:val="32"/>
                <w:szCs w:val="32"/>
              </w:rPr>
            </w:pPr>
            <w:r>
              <w:rPr>
                <w:rFonts w:hint="eastAsia" w:ascii="仿宋" w:hAnsi="仿宋" w:eastAsia="仿宋" w:cs="仿宋"/>
                <w:sz w:val="32"/>
                <w:szCs w:val="32"/>
              </w:rPr>
              <w:t xml:space="preserve">代码： </w:t>
            </w:r>
          </w:p>
        </w:tc>
      </w:tr>
    </w:tbl>
    <w:p>
      <w:pPr>
        <w:widowControl/>
        <w:spacing w:before="249" w:beforeLines="80" w:afterAutospacing="1"/>
        <w:ind w:firstLine="1374" w:firstLineChars="300"/>
        <w:jc w:val="left"/>
        <w:rPr>
          <w:rFonts w:ascii="仿宋" w:hAnsi="仿宋" w:eastAsia="仿宋" w:cs="仿宋"/>
          <w:color w:val="000000"/>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color w:val="000000"/>
          <w:spacing w:val="69"/>
          <w:kern w:val="0"/>
          <w:position w:val="-15"/>
          <w:sz w:val="32"/>
          <w:szCs w:val="32"/>
          <w:lang w:bidi="ar"/>
        </w:rPr>
      </w:pPr>
    </w:p>
    <w:p>
      <w:pPr>
        <w:widowControl/>
        <w:spacing w:before="249" w:beforeLines="80" w:afterAutospacing="1"/>
        <w:ind w:firstLine="1374" w:firstLineChars="300"/>
        <w:jc w:val="left"/>
        <w:rPr>
          <w:rFonts w:ascii="仿宋" w:hAnsi="仿宋" w:eastAsia="仿宋" w:cs="仿宋"/>
          <w:color w:val="000000"/>
          <w:spacing w:val="69"/>
          <w:kern w:val="0"/>
          <w:position w:val="-15"/>
          <w:sz w:val="32"/>
          <w:szCs w:val="32"/>
          <w:lang w:bidi="ar"/>
        </w:rPr>
      </w:pPr>
    </w:p>
    <w:tbl>
      <w:tblPr>
        <w:tblStyle w:val="3"/>
        <w:tblpPr w:leftFromText="180" w:rightFromText="180" w:vertAnchor="text" w:horzAnchor="page" w:tblpX="3658" w:tblpY="408"/>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noWrap w:val="0"/>
            <w:vAlign w:val="center"/>
          </w:tcPr>
          <w:p>
            <w:pPr>
              <w:spacing w:line="360" w:lineRule="auto"/>
              <w:ind w:left="0" w:leftChars="0" w:firstLine="0" w:firstLineChars="0"/>
              <w:jc w:val="center"/>
              <w:rPr>
                <w:rFonts w:ascii="仿宋" w:hAnsi="仿宋" w:eastAsia="仿宋" w:cs="仿宋"/>
                <w:sz w:val="32"/>
                <w:szCs w:val="32"/>
              </w:rPr>
            </w:pPr>
            <w:r>
              <w:rPr>
                <w:rFonts w:hint="eastAsia" w:ascii="仿宋" w:hAnsi="仿宋" w:eastAsia="仿宋" w:cs="仿宋"/>
                <w:sz w:val="32"/>
                <w:szCs w:val="32"/>
              </w:rPr>
              <w:t>授 权 级 别</w:t>
            </w:r>
          </w:p>
        </w:tc>
        <w:tc>
          <w:tcPr>
            <w:tcW w:w="2880" w:type="dxa"/>
            <w:tcBorders>
              <w:bottom w:val="single" w:color="auto" w:sz="4" w:space="0"/>
            </w:tcBorders>
            <w:noWrap w:val="0"/>
            <w:vAlign w:val="center"/>
          </w:tcPr>
          <w:p>
            <w:pPr>
              <w:spacing w:line="360" w:lineRule="auto"/>
              <w:ind w:left="0" w:leftChars="0" w:firstLine="458" w:firstLineChars="100"/>
              <w:rPr>
                <w:rFonts w:ascii="仿宋" w:hAnsi="仿宋" w:eastAsia="仿宋" w:cs="仿宋"/>
                <w:sz w:val="32"/>
                <w:szCs w:val="32"/>
              </w:rPr>
            </w:pPr>
            <w:r>
              <w:rPr>
                <w:rFonts w:hint="eastAsia" w:ascii="仿宋" w:hAnsi="仿宋" w:eastAsia="仿宋" w:cs="仿宋"/>
                <w:color w:val="000000"/>
                <w:spacing w:val="69"/>
                <w:kern w:val="0"/>
                <w:position w:val="-15"/>
                <w:sz w:val="32"/>
                <w:szCs w:val="32"/>
                <w:lang w:bidi="ar"/>
              </w:rPr>
              <w:sym w:font="Wingdings 2" w:char="00A3"/>
            </w:r>
            <w:r>
              <w:rPr>
                <w:rFonts w:hint="eastAsia" w:ascii="仿宋" w:hAnsi="仿宋" w:eastAsia="仿宋" w:cs="仿宋"/>
                <w:color w:val="000000"/>
                <w:spacing w:val="69"/>
                <w:kern w:val="0"/>
                <w:position w:val="-15"/>
                <w:sz w:val="32"/>
                <w:szCs w:val="32"/>
                <w:lang w:bidi="ar"/>
              </w:rPr>
              <w:t>博士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noWrap w:val="0"/>
            <w:vAlign w:val="top"/>
          </w:tcPr>
          <w:p>
            <w:pPr>
              <w:spacing w:line="360" w:lineRule="auto"/>
              <w:jc w:val="center"/>
              <w:rPr>
                <w:rFonts w:ascii="仿宋" w:hAnsi="仿宋" w:eastAsia="仿宋" w:cs="仿宋"/>
                <w:sz w:val="32"/>
                <w:szCs w:val="32"/>
              </w:rPr>
            </w:pPr>
          </w:p>
        </w:tc>
        <w:tc>
          <w:tcPr>
            <w:tcW w:w="2880" w:type="dxa"/>
            <w:tcBorders>
              <w:top w:val="single" w:color="auto" w:sz="4" w:space="0"/>
            </w:tcBorders>
            <w:noWrap w:val="0"/>
            <w:vAlign w:val="center"/>
          </w:tcPr>
          <w:p>
            <w:pPr>
              <w:spacing w:line="360" w:lineRule="auto"/>
              <w:ind w:left="0" w:leftChars="0" w:firstLine="458" w:firstLineChars="100"/>
              <w:rPr>
                <w:rFonts w:ascii="仿宋" w:hAnsi="仿宋" w:eastAsia="仿宋" w:cs="仿宋"/>
                <w:sz w:val="32"/>
                <w:szCs w:val="32"/>
              </w:rPr>
            </w:pPr>
            <w:r>
              <w:rPr>
                <w:rFonts w:hint="eastAsia" w:ascii="仿宋" w:hAnsi="仿宋" w:eastAsia="仿宋" w:cs="仿宋"/>
                <w:color w:val="000000"/>
                <w:spacing w:val="69"/>
                <w:kern w:val="0"/>
                <w:position w:val="-15"/>
                <w:sz w:val="32"/>
                <w:szCs w:val="32"/>
                <w:lang w:bidi="ar"/>
              </w:rPr>
              <w:sym w:font="Wingdings 2" w:char="00A3"/>
            </w:r>
            <w:r>
              <w:rPr>
                <w:rFonts w:hint="eastAsia" w:ascii="仿宋" w:hAnsi="仿宋" w:eastAsia="仿宋" w:cs="仿宋"/>
                <w:color w:val="000000"/>
                <w:spacing w:val="69"/>
                <w:kern w:val="0"/>
                <w:position w:val="-15"/>
                <w:sz w:val="32"/>
                <w:szCs w:val="32"/>
                <w:lang w:bidi="ar"/>
              </w:rPr>
              <w:t xml:space="preserve">硕士 </w:t>
            </w:r>
          </w:p>
        </w:tc>
      </w:tr>
    </w:tbl>
    <w:p>
      <w:pPr>
        <w:widowControl/>
        <w:spacing w:before="243" w:afterAutospacing="1"/>
        <w:ind w:firstLine="1890" w:firstLineChars="900"/>
        <w:jc w:val="left"/>
        <w:rPr>
          <w:rFonts w:ascii="Arial" w:hAnsi="Arial" w:cs="Arial"/>
          <w:color w:val="000000"/>
          <w:kern w:val="0"/>
          <w:szCs w:val="21"/>
        </w:rPr>
      </w:pPr>
    </w:p>
    <w:p>
      <w:pPr>
        <w:widowControl/>
        <w:spacing w:before="298" w:afterAutospacing="1"/>
        <w:ind w:firstLine="3047"/>
        <w:jc w:val="left"/>
        <w:rPr>
          <w:rFonts w:eastAsia="楷体"/>
          <w:color w:val="000000"/>
          <w:spacing w:val="-11"/>
          <w:kern w:val="0"/>
          <w:sz w:val="28"/>
          <w:szCs w:val="28"/>
          <w:lang w:bidi="ar"/>
        </w:rPr>
      </w:pPr>
    </w:p>
    <w:p>
      <w:pPr>
        <w:widowControl/>
        <w:spacing w:before="298" w:afterAutospacing="1"/>
        <w:ind w:firstLine="3047"/>
        <w:jc w:val="left"/>
        <w:rPr>
          <w:rFonts w:eastAsia="楷体"/>
          <w:color w:val="000000"/>
          <w:spacing w:val="-11"/>
          <w:kern w:val="0"/>
          <w:sz w:val="28"/>
          <w:szCs w:val="28"/>
          <w:lang w:bidi="ar"/>
        </w:rPr>
      </w:pPr>
    </w:p>
    <w:p>
      <w:pPr>
        <w:widowControl/>
        <w:spacing w:before="298" w:afterAutospacing="1"/>
        <w:ind w:firstLine="3047"/>
        <w:jc w:val="left"/>
        <w:rPr>
          <w:rFonts w:eastAsia="楷体"/>
          <w:color w:val="000000"/>
          <w:spacing w:val="-11"/>
          <w:kern w:val="0"/>
          <w:sz w:val="28"/>
          <w:szCs w:val="28"/>
          <w:lang w:bidi="ar"/>
        </w:rPr>
      </w:pPr>
    </w:p>
    <w:p>
      <w:pPr>
        <w:widowControl/>
        <w:spacing w:before="298" w:afterAutospacing="1"/>
        <w:ind w:left="0" w:leftChars="0" w:firstLine="0" w:firstLineChars="0"/>
        <w:jc w:val="center"/>
        <w:rPr>
          <w:rFonts w:eastAsia="楷体"/>
          <w:color w:val="000000"/>
          <w:kern w:val="0"/>
          <w:sz w:val="28"/>
          <w:szCs w:val="28"/>
        </w:rPr>
      </w:pPr>
      <w:r>
        <w:rPr>
          <w:rFonts w:eastAsia="楷体"/>
          <w:color w:val="000000"/>
          <w:spacing w:val="-11"/>
          <w:kern w:val="0"/>
          <w:sz w:val="28"/>
          <w:szCs w:val="28"/>
          <w:lang w:bidi="ar"/>
        </w:rPr>
        <w:t>202</w:t>
      </w:r>
      <w:r>
        <w:rPr>
          <w:rFonts w:hint="eastAsia" w:eastAsia="楷体"/>
          <w:color w:val="000000"/>
          <w:spacing w:val="-11"/>
          <w:kern w:val="0"/>
          <w:sz w:val="28"/>
          <w:szCs w:val="28"/>
          <w:lang w:bidi="ar"/>
        </w:rPr>
        <w:t xml:space="preserve">  </w:t>
      </w:r>
      <w:r>
        <w:rPr>
          <w:rFonts w:eastAsia="楷体"/>
          <w:color w:val="000000"/>
          <w:spacing w:val="-11"/>
          <w:kern w:val="0"/>
          <w:sz w:val="28"/>
          <w:szCs w:val="28"/>
          <w:lang w:bidi="ar"/>
        </w:rPr>
        <w:t xml:space="preserve">年 </w:t>
      </w:r>
      <w:r>
        <w:rPr>
          <w:rFonts w:hint="eastAsia" w:eastAsia="楷体"/>
          <w:color w:val="000000"/>
          <w:spacing w:val="-11"/>
          <w:kern w:val="0"/>
          <w:sz w:val="28"/>
          <w:szCs w:val="28"/>
          <w:lang w:bidi="ar"/>
        </w:rPr>
        <w:t xml:space="preserve">  </w:t>
      </w:r>
      <w:r>
        <w:rPr>
          <w:rFonts w:eastAsia="楷体"/>
          <w:color w:val="000000"/>
          <w:spacing w:val="-11"/>
          <w:kern w:val="0"/>
          <w:sz w:val="28"/>
          <w:szCs w:val="28"/>
          <w:lang w:bidi="ar"/>
        </w:rPr>
        <w:t xml:space="preserve"> 月</w:t>
      </w:r>
      <w:r>
        <w:rPr>
          <w:rFonts w:hint="eastAsia" w:eastAsia="楷体"/>
          <w:color w:val="000000"/>
          <w:spacing w:val="-11"/>
          <w:kern w:val="0"/>
          <w:sz w:val="28"/>
          <w:szCs w:val="28"/>
          <w:lang w:bidi="ar"/>
        </w:rPr>
        <w:t xml:space="preserve">  </w:t>
      </w:r>
      <w:r>
        <w:rPr>
          <w:rFonts w:eastAsia="楷体"/>
          <w:color w:val="000000"/>
          <w:spacing w:val="-11"/>
          <w:kern w:val="0"/>
          <w:sz w:val="28"/>
          <w:szCs w:val="28"/>
          <w:lang w:bidi="ar"/>
        </w:rPr>
        <w:t xml:space="preserve">  日</w:t>
      </w:r>
    </w:p>
    <w:p>
      <w:pPr>
        <w:rPr>
          <w:rFonts w:ascii="楷体" w:hAnsi="楷体" w:eastAsia="楷体" w:cs="楷体"/>
          <w:color w:val="000000"/>
          <w:spacing w:val="-13"/>
          <w:kern w:val="0"/>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widowControl/>
        <w:spacing w:before="58" w:afterAutospacing="1"/>
        <w:jc w:val="center"/>
        <w:rPr>
          <w:rFonts w:ascii="楷体" w:hAnsi="楷体" w:eastAsia="楷体" w:cs="楷体"/>
          <w:color w:val="000000"/>
          <w:kern w:val="0"/>
          <w:sz w:val="28"/>
          <w:szCs w:val="28"/>
        </w:rPr>
      </w:pPr>
      <w:r>
        <w:rPr>
          <w:rFonts w:hint="eastAsia" w:ascii="楷体" w:hAnsi="楷体" w:eastAsia="楷体" w:cs="楷体"/>
          <w:color w:val="000000"/>
          <w:spacing w:val="-13"/>
          <w:kern w:val="0"/>
          <w:sz w:val="28"/>
          <w:szCs w:val="28"/>
          <w:lang w:bidi="ar"/>
        </w:rPr>
        <w:t>编写说明</w:t>
      </w:r>
    </w:p>
    <w:p>
      <w:pPr>
        <w:widowControl/>
        <w:spacing w:line="420" w:lineRule="exact"/>
        <w:ind w:right="11"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一、本报告是在学位授权点完成自我评估后，根据自我评估结果和专家评议意见，对学位授权点的全面总结，分为三个部分：学位授权点基本情况、自我评估工作开展情况和持续改进计划。</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二、本报告按学术学位授权点和专业学位授权点分别编写，同时获得博士、硕士学位授权的学科或专业学位类别，只编写一份总结报告。</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三、封面中单位代码按照《高等学校和科研机构学位与研究生管理信息标准》</w:t>
      </w:r>
    </w:p>
    <w:p>
      <w:pPr>
        <w:widowControl/>
        <w:spacing w:line="420" w:lineRule="exact"/>
        <w:ind w:left="134" w:right="12" w:firstLine="253"/>
        <w:jc w:val="left"/>
        <w:rPr>
          <w:rFonts w:eastAsia="仿宋"/>
          <w:color w:val="000000"/>
          <w:spacing w:val="9"/>
          <w:kern w:val="0"/>
          <w:sz w:val="22"/>
          <w:szCs w:val="22"/>
          <w:lang w:bidi="ar"/>
        </w:rPr>
      </w:pPr>
      <w:r>
        <w:rPr>
          <w:rFonts w:hint="eastAsia" w:eastAsia="仿宋"/>
          <w:color w:val="000000"/>
          <w:spacing w:val="9"/>
          <w:kern w:val="0"/>
          <w:sz w:val="22"/>
          <w:szCs w:val="22"/>
          <w:lang w:bidi="ar"/>
        </w:rPr>
        <w:t>（国务院学位委员会办公室编，</w:t>
      </w:r>
      <w:r>
        <w:rPr>
          <w:rFonts w:eastAsia="仿宋"/>
          <w:color w:val="000000"/>
          <w:spacing w:val="9"/>
          <w:kern w:val="0"/>
          <w:sz w:val="22"/>
          <w:szCs w:val="22"/>
          <w:lang w:bidi="ar"/>
        </w:rPr>
        <w:t>2004年3月</w:t>
      </w:r>
      <w:r>
        <w:rPr>
          <w:rFonts w:hint="eastAsia" w:eastAsia="仿宋"/>
          <w:color w:val="000000"/>
          <w:spacing w:val="9"/>
          <w:kern w:val="0"/>
          <w:sz w:val="22"/>
          <w:szCs w:val="22"/>
          <w:lang w:bidi="ar"/>
        </w:rPr>
        <w:t>北京大学出版社出版）中教育部《高等学校代码》（包括高等学校与科研机构）填写；学术学位授权点的学科名称及代码按照国务院学位委员会和教育部2011年印发、2018年修订的《学位授予和人才培养学科目录》填写，只有二级学科学位授权点的，授权学科名称及代码按照国务院学位委员会和原国家教育委员会1997年颁布的《授予博士、硕士学位和培养研究生的学科、专业目录》填写；专业学位授权点的类别名称及代码按照国务院学位委员会、教育部2011年印发的《专业学位授予和人才培养目录》填写；同时获得博士、硕士学位授权的学科，授权级别选“博士”。</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四、本报告采取写实性描述，能用数据定量描述的，不得定性描述。定量数据除总量外，尽可能用师均、生均或比例描述。报告中所描述的内容和数据应确属本学位点，必须真实、准确，有据可查。</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五、本报告的各项内容须是本学位点合格评估自评阶段5年内的情况，统计时间以自评阶段第5年12月底为截止时间。</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六、本报告所涉及的师资内容应区分目前人事关系隶属本单位的专职人员和兼职导师（同一人员原则上不得在不同学术学位点或不同专业学位点重复统计或填写）。</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八、涉及国家机密的内容一律按国家有关保密规定进行脱密处理后编写。</w:t>
      </w:r>
    </w:p>
    <w:p>
      <w:pPr>
        <w:widowControl/>
        <w:spacing w:line="420" w:lineRule="exact"/>
        <w:ind w:right="12" w:firstLine="476" w:firstLineChars="200"/>
        <w:jc w:val="left"/>
        <w:rPr>
          <w:rFonts w:eastAsia="仿宋"/>
          <w:color w:val="000000"/>
          <w:spacing w:val="9"/>
          <w:kern w:val="0"/>
          <w:sz w:val="22"/>
          <w:szCs w:val="22"/>
          <w:lang w:bidi="ar"/>
        </w:rPr>
      </w:pPr>
      <w:r>
        <w:rPr>
          <w:rFonts w:hint="eastAsia" w:eastAsia="仿宋"/>
          <w:color w:val="000000"/>
          <w:spacing w:val="9"/>
          <w:kern w:val="0"/>
          <w:sz w:val="22"/>
          <w:szCs w:val="22"/>
          <w:lang w:bidi="ar"/>
        </w:rPr>
        <w:t>九、本报告文字使用四号宋体，字数不超过8000字，纸张限用</w:t>
      </w:r>
      <w:r>
        <w:rPr>
          <w:rFonts w:eastAsia="仿宋"/>
          <w:color w:val="000000"/>
          <w:spacing w:val="9"/>
          <w:kern w:val="0"/>
          <w:sz w:val="22"/>
          <w:szCs w:val="22"/>
          <w:lang w:bidi="ar"/>
        </w:rPr>
        <w:t>A4</w:t>
      </w:r>
      <w:r>
        <w:rPr>
          <w:rFonts w:hint="eastAsia" w:eastAsia="仿宋"/>
          <w:color w:val="000000"/>
          <w:spacing w:val="9"/>
          <w:kern w:val="0"/>
          <w:sz w:val="22"/>
          <w:szCs w:val="22"/>
          <w:lang w:bidi="ar"/>
        </w:rPr>
        <w:t>。</w:t>
      </w:r>
    </w:p>
    <w:p>
      <w:pPr>
        <w:widowControl/>
        <w:spacing w:line="420" w:lineRule="exact"/>
        <w:ind w:left="134" w:right="12" w:firstLine="253"/>
        <w:jc w:val="left"/>
        <w:rPr>
          <w:rFonts w:eastAsia="仿宋"/>
          <w:color w:val="000000"/>
          <w:spacing w:val="9"/>
          <w:kern w:val="0"/>
          <w:sz w:val="22"/>
          <w:szCs w:val="22"/>
          <w:lang w:bidi="ar"/>
        </w:rPr>
        <w:sectPr>
          <w:pgSz w:w="12242" w:h="15842"/>
          <w:pgMar w:top="1440" w:right="1800" w:bottom="1440" w:left="1800" w:header="851" w:footer="992" w:gutter="0"/>
          <w:pgNumType w:fmt="decimal"/>
          <w:cols w:space="425" w:num="1"/>
          <w:docGrid w:type="lines" w:linePitch="312" w:charSpace="0"/>
        </w:sectPr>
      </w:pPr>
    </w:p>
    <w:p>
      <w:pPr>
        <w:widowControl/>
        <w:spacing w:before="76" w:afterAutospacing="1"/>
        <w:ind w:firstLine="693"/>
        <w:jc w:val="left"/>
        <w:rPr>
          <w:rFonts w:ascii="等线" w:hAnsi="等线" w:eastAsia="等线" w:cs="等线"/>
          <w:color w:val="000000"/>
          <w:kern w:val="0"/>
          <w:sz w:val="28"/>
          <w:szCs w:val="28"/>
        </w:rPr>
      </w:pPr>
      <w:r>
        <w:rPr>
          <w:rFonts w:hint="eastAsia" w:ascii="等线" w:hAnsi="等线" w:eastAsia="等线" w:cs="等线"/>
          <w:color w:val="000000"/>
          <w:spacing w:val="-13"/>
          <w:kern w:val="0"/>
          <w:sz w:val="28"/>
          <w:szCs w:val="28"/>
          <w:lang w:bidi="ar"/>
        </w:rPr>
        <w:t>一、学位授权点基本情况</w:t>
      </w:r>
    </w:p>
    <w:p>
      <w:pPr>
        <w:widowControl/>
        <w:spacing w:before="197" w:afterAutospacing="1" w:line="340" w:lineRule="auto"/>
        <w:ind w:left="34" w:right="95" w:firstLine="888"/>
        <w:jc w:val="left"/>
        <w:rPr>
          <w:rFonts w:ascii="楷体" w:hAnsi="楷体" w:eastAsia="楷体" w:cs="楷体"/>
          <w:color w:val="000000"/>
          <w:kern w:val="0"/>
          <w:sz w:val="28"/>
          <w:szCs w:val="28"/>
        </w:rPr>
      </w:pPr>
      <w:r>
        <w:rPr>
          <w:rFonts w:hint="eastAsia" w:ascii="楷体" w:hAnsi="楷体" w:eastAsia="楷体" w:cs="楷体"/>
          <w:color w:val="000000"/>
          <w:spacing w:val="5"/>
          <w:kern w:val="0"/>
          <w:sz w:val="28"/>
          <w:szCs w:val="28"/>
          <w:lang w:bidi="ar"/>
        </w:rPr>
        <w:t>【本部分由学位授权点根据《学位授权点抽评要素》的主要</w:t>
      </w:r>
      <w:r>
        <w:rPr>
          <w:rFonts w:hint="eastAsia" w:ascii="楷体" w:hAnsi="楷体" w:eastAsia="楷体" w:cs="楷体"/>
          <w:color w:val="000000"/>
          <w:spacing w:val="17"/>
          <w:kern w:val="0"/>
          <w:sz w:val="28"/>
          <w:szCs w:val="28"/>
          <w:lang w:bidi="ar"/>
        </w:rPr>
        <w:t>内容进行编写，但不局限于抽评要素中所列的主要内容。编写时</w:t>
      </w:r>
      <w:r>
        <w:rPr>
          <w:rFonts w:hint="eastAsia" w:ascii="楷体" w:hAnsi="楷体" w:eastAsia="楷体" w:cs="楷体"/>
          <w:color w:val="000000"/>
          <w:spacing w:val="14"/>
          <w:kern w:val="0"/>
          <w:sz w:val="28"/>
          <w:szCs w:val="28"/>
          <w:lang w:bidi="ar"/>
        </w:rPr>
        <w:t>应体现本学位授权点的特色和人才培养水平，相关数据统计可以</w:t>
      </w:r>
      <w:r>
        <w:rPr>
          <w:rFonts w:hint="eastAsia" w:ascii="楷体" w:hAnsi="楷体" w:eastAsia="楷体" w:cs="楷体"/>
          <w:color w:val="000000"/>
          <w:spacing w:val="17"/>
          <w:kern w:val="0"/>
          <w:sz w:val="28"/>
          <w:szCs w:val="28"/>
          <w:lang w:bidi="ar"/>
        </w:rPr>
        <w:t>使用图表表示。博士学位授权点涉及博士、硕士内容不同的部分</w:t>
      </w:r>
      <w:r>
        <w:rPr>
          <w:rFonts w:hint="eastAsia" w:ascii="楷体" w:hAnsi="楷体" w:eastAsia="楷体" w:cs="楷体"/>
          <w:color w:val="000000"/>
          <w:spacing w:val="14"/>
          <w:kern w:val="0"/>
          <w:sz w:val="28"/>
          <w:szCs w:val="28"/>
          <w:lang w:bidi="ar"/>
        </w:rPr>
        <w:t>可分别描述。已列入《学位授权点基本状态信息表》的内容，仅</w:t>
      </w:r>
      <w:r>
        <w:rPr>
          <w:rFonts w:hint="eastAsia" w:ascii="楷体" w:hAnsi="楷体" w:eastAsia="楷体" w:cs="楷体"/>
          <w:color w:val="000000"/>
          <w:spacing w:val="9"/>
          <w:kern w:val="0"/>
          <w:sz w:val="28"/>
          <w:szCs w:val="28"/>
          <w:lang w:bidi="ar"/>
        </w:rPr>
        <w:t>描述整体情况和亮点特色即可，无需罗列详细清单。】</w:t>
      </w:r>
    </w:p>
    <w:p>
      <w:pPr>
        <w:widowControl/>
        <w:spacing w:before="46" w:afterAutospacing="1"/>
        <w:ind w:firstLine="668"/>
        <w:jc w:val="left"/>
        <w:rPr>
          <w:rFonts w:ascii="黑体" w:hAnsi="宋体" w:eastAsia="黑体" w:cs="黑体"/>
          <w:color w:val="000000"/>
          <w:kern w:val="0"/>
          <w:sz w:val="28"/>
          <w:szCs w:val="28"/>
        </w:rPr>
      </w:pPr>
      <w:r>
        <w:rPr>
          <w:rFonts w:ascii="黑体" w:hAnsi="宋体" w:eastAsia="黑体" w:cs="黑体"/>
          <w:color w:val="000000"/>
          <w:spacing w:val="-12"/>
          <w:kern w:val="0"/>
          <w:sz w:val="28"/>
          <w:szCs w:val="28"/>
          <w:lang w:bidi="ar"/>
        </w:rPr>
        <w:t>二、自我评估工作开展情况</w:t>
      </w:r>
    </w:p>
    <w:p>
      <w:pPr>
        <w:widowControl/>
        <w:spacing w:before="227" w:afterAutospacing="1" w:line="355" w:lineRule="auto"/>
        <w:ind w:left="10" w:right="107" w:firstLine="888"/>
        <w:jc w:val="left"/>
        <w:rPr>
          <w:rFonts w:ascii="楷体" w:hAnsi="楷体" w:eastAsia="楷体" w:cs="楷体"/>
          <w:color w:val="000000"/>
          <w:kern w:val="0"/>
          <w:sz w:val="28"/>
          <w:szCs w:val="28"/>
        </w:rPr>
      </w:pPr>
      <w:r>
        <w:rPr>
          <w:rFonts w:hint="eastAsia" w:ascii="楷体" w:hAnsi="楷体" w:eastAsia="楷体" w:cs="楷体"/>
          <w:color w:val="000000"/>
          <w:spacing w:val="1"/>
          <w:kern w:val="0"/>
          <w:sz w:val="28"/>
          <w:szCs w:val="28"/>
          <w:lang w:bidi="ar"/>
        </w:rPr>
        <w:t>【描述自我评估的组织机构、工作流程、日程安排等情况;</w:t>
      </w:r>
      <w:r>
        <w:rPr>
          <w:rFonts w:hint="eastAsia" w:ascii="楷体" w:hAnsi="楷体" w:eastAsia="楷体" w:cs="楷体"/>
          <w:color w:val="000000"/>
          <w:spacing w:val="16"/>
          <w:kern w:val="0"/>
          <w:sz w:val="28"/>
          <w:szCs w:val="28"/>
          <w:lang w:bidi="ar"/>
        </w:rPr>
        <w:t>提供自我评估所选聘的外单位同行评估专家名单;概括描述同行</w:t>
      </w:r>
      <w:r>
        <w:rPr>
          <w:rFonts w:hint="eastAsia" w:ascii="楷体" w:hAnsi="楷体" w:eastAsia="楷体" w:cs="楷体"/>
          <w:color w:val="000000"/>
          <w:spacing w:val="17"/>
          <w:kern w:val="0"/>
          <w:sz w:val="28"/>
          <w:szCs w:val="28"/>
          <w:lang w:bidi="ar"/>
        </w:rPr>
        <w:t>专家对本学位授权点的意见，包括目前存在的问题及相关改进建</w:t>
      </w:r>
      <w:r>
        <w:rPr>
          <w:rFonts w:hint="eastAsia" w:ascii="楷体" w:hAnsi="楷体" w:eastAsia="楷体" w:cs="楷体"/>
          <w:color w:val="000000"/>
          <w:spacing w:val="-19"/>
          <w:kern w:val="0"/>
          <w:sz w:val="28"/>
          <w:szCs w:val="28"/>
          <w:lang w:bidi="ar"/>
        </w:rPr>
        <w:t>议。】</w:t>
      </w:r>
    </w:p>
    <w:p>
      <w:pPr>
        <w:widowControl/>
        <w:spacing w:before="4" w:afterAutospacing="1"/>
        <w:ind w:firstLine="668"/>
        <w:jc w:val="left"/>
        <w:rPr>
          <w:rFonts w:ascii="等线" w:hAnsi="等线" w:eastAsia="等线" w:cs="等线"/>
          <w:color w:val="000000"/>
          <w:kern w:val="0"/>
          <w:sz w:val="28"/>
          <w:szCs w:val="28"/>
        </w:rPr>
      </w:pPr>
      <w:r>
        <w:rPr>
          <w:rFonts w:hint="eastAsia" w:ascii="等线" w:hAnsi="等线" w:eastAsia="等线" w:cs="等线"/>
          <w:color w:val="000000"/>
          <w:spacing w:val="-16"/>
          <w:kern w:val="0"/>
          <w:sz w:val="28"/>
          <w:szCs w:val="28"/>
          <w:lang w:bidi="ar"/>
        </w:rPr>
        <w:t>三、持续改进计划</w:t>
      </w:r>
    </w:p>
    <w:p>
      <w:pPr>
        <w:widowControl/>
        <w:spacing w:before="210" w:afterAutospacing="1" w:line="348" w:lineRule="auto"/>
        <w:ind w:left="22" w:right="107" w:firstLine="864"/>
        <w:jc w:val="left"/>
        <w:rPr>
          <w:rFonts w:ascii="楷体" w:hAnsi="楷体" w:eastAsia="楷体" w:cs="楷体"/>
          <w:color w:val="000000"/>
          <w:kern w:val="0"/>
          <w:sz w:val="28"/>
          <w:szCs w:val="28"/>
        </w:rPr>
      </w:pPr>
      <w:r>
        <w:rPr>
          <w:rFonts w:hint="eastAsia" w:ascii="楷体" w:hAnsi="楷体" w:eastAsia="楷体" w:cs="楷体"/>
          <w:color w:val="000000"/>
          <w:spacing w:val="6"/>
          <w:kern w:val="0"/>
          <w:sz w:val="28"/>
          <w:szCs w:val="28"/>
          <w:lang w:bidi="ar"/>
        </w:rPr>
        <w:t>【针对存在的问题，提出本学位授权点的持续改进计划，包</w:t>
      </w:r>
      <w:r>
        <w:rPr>
          <w:rFonts w:hint="eastAsia" w:ascii="楷体" w:hAnsi="楷体" w:eastAsia="楷体" w:cs="楷体"/>
          <w:color w:val="000000"/>
          <w:spacing w:val="8"/>
          <w:kern w:val="0"/>
          <w:sz w:val="28"/>
          <w:szCs w:val="28"/>
          <w:lang w:bidi="ar"/>
        </w:rPr>
        <w:t>括未来一段时间的发展目标和保障措施。】</w:t>
      </w:r>
    </w:p>
    <w:p>
      <w:pPr>
        <w:widowControl/>
        <w:spacing w:beforeAutospacing="1" w:afterAutospacing="1"/>
        <w:jc w:val="left"/>
        <w:rPr>
          <w:rFonts w:ascii="Arial" w:hAnsi="Arial" w:cs="Arial"/>
          <w:color w:val="000000"/>
          <w:kern w:val="0"/>
          <w:szCs w:val="21"/>
        </w:rPr>
      </w:pPr>
    </w:p>
    <w:p>
      <w:pPr>
        <w:widowControl/>
        <w:spacing w:before="329" w:afterAutospacing="1"/>
        <w:ind w:firstLine="659"/>
        <w:jc w:val="left"/>
        <w:rPr>
          <w:rFonts w:ascii="楷体" w:hAnsi="楷体" w:eastAsia="楷体" w:cs="楷体"/>
          <w:color w:val="000000"/>
          <w:kern w:val="0"/>
          <w:sz w:val="28"/>
          <w:szCs w:val="28"/>
        </w:rPr>
      </w:pPr>
      <w:r>
        <w:rPr>
          <w:rFonts w:hint="eastAsia" w:ascii="楷体" w:hAnsi="楷体" w:eastAsia="楷体" w:cs="楷体"/>
          <w:color w:val="000000"/>
          <w:spacing w:val="11"/>
          <w:kern w:val="0"/>
          <w:sz w:val="28"/>
          <w:szCs w:val="28"/>
          <w:lang w:bidi="ar"/>
        </w:rPr>
        <w:t>附∶本学位授权点连续</w:t>
      </w:r>
      <w:r>
        <w:rPr>
          <w:rFonts w:eastAsia="楷体"/>
          <w:color w:val="000000"/>
          <w:spacing w:val="11"/>
          <w:kern w:val="0"/>
          <w:sz w:val="28"/>
          <w:szCs w:val="28"/>
          <w:lang w:bidi="ar"/>
        </w:rPr>
        <w:t>5</w:t>
      </w:r>
      <w:r>
        <w:rPr>
          <w:rFonts w:hint="eastAsia" w:ascii="楷体" w:hAnsi="楷体" w:eastAsia="楷体" w:cs="楷体"/>
          <w:color w:val="000000"/>
          <w:spacing w:val="11"/>
          <w:kern w:val="0"/>
          <w:sz w:val="28"/>
          <w:szCs w:val="28"/>
          <w:lang w:bidi="ar"/>
        </w:rPr>
        <w:t>年的培养方案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2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150" w:firstLineChars="150"/>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2024-04-07T01:44:32Z</dcterms:created>
  <dc:creator>Administrator</dc:creator>
  <cp:lastModifiedBy>子木</cp:lastModifiedBy>
  <dcterms:modified xsi:type="dcterms:W3CDTF">2024-04-07T01:44:48Z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